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4F367A">
      <w:pPr>
        <w:contextualSpacing/>
        <w:rPr>
          <w:b/>
        </w:rPr>
      </w:pPr>
      <w:r>
        <w:rPr>
          <w:b/>
        </w:rPr>
        <w:t xml:space="preserve"> </w:t>
      </w:r>
      <w:r w:rsidR="00495B0D">
        <w:rPr>
          <w:b/>
        </w:rPr>
        <w:t>Geography</w:t>
      </w:r>
      <w:r w:rsidR="00495B0D">
        <w:rPr>
          <w:b/>
        </w:rPr>
        <w:tab/>
      </w:r>
      <w:r w:rsidR="00495B0D">
        <w:rPr>
          <w:b/>
        </w:rPr>
        <w:tab/>
      </w:r>
      <w:r w:rsidR="00495B0D">
        <w:rPr>
          <w:b/>
        </w:rPr>
        <w:tab/>
      </w:r>
      <w:r w:rsidR="00495B0D">
        <w:rPr>
          <w:b/>
        </w:rPr>
        <w:tab/>
      </w:r>
      <w:r w:rsidR="00495B0D">
        <w:rPr>
          <w:b/>
        </w:rPr>
        <w:tab/>
      </w:r>
      <w:r w:rsidR="00495B0D">
        <w:rPr>
          <w:b/>
        </w:rPr>
        <w:tab/>
        <w:t>Name: _________________________________</w:t>
      </w:r>
    </w:p>
    <w:p w:rsidR="00495B0D" w:rsidRDefault="00495B0D">
      <w:pPr>
        <w:contextualSpacing/>
        <w:rPr>
          <w:b/>
        </w:rPr>
      </w:pPr>
      <w:r>
        <w:rPr>
          <w:b/>
        </w:rPr>
        <w:t>Study Guide – Chapter 3</w:t>
      </w:r>
    </w:p>
    <w:p w:rsidR="00495B0D" w:rsidRDefault="00495B0D">
      <w:pPr>
        <w:contextualSpacing/>
        <w:rPr>
          <w:b/>
        </w:rPr>
      </w:pPr>
      <w:r>
        <w:rPr>
          <w:b/>
        </w:rPr>
        <w:t xml:space="preserve">Mr. Blum </w:t>
      </w:r>
    </w:p>
    <w:p w:rsidR="00495B0D" w:rsidRDefault="00495B0D">
      <w:pPr>
        <w:contextualSpacing/>
        <w:rPr>
          <w:b/>
        </w:rPr>
      </w:pP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Peninsula </w:t>
      </w:r>
      <w:r w:rsidR="004D3418">
        <w:tab/>
      </w:r>
      <w:r w:rsidR="004D3418">
        <w:tab/>
      </w:r>
      <w:r w:rsidR="004D3418">
        <w:tab/>
      </w:r>
      <w:r w:rsidR="004D3418">
        <w:tab/>
      </w:r>
      <w:r w:rsidR="004D3418">
        <w:tab/>
      </w:r>
      <w:r w:rsidR="004D3418">
        <w:tab/>
        <w:t>38. Deportation</w:t>
      </w:r>
    </w:p>
    <w:p w:rsidR="004D3418" w:rsidRDefault="004D3418" w:rsidP="00495B0D">
      <w:pPr>
        <w:pStyle w:val="ListParagraph"/>
        <w:numPr>
          <w:ilvl w:val="0"/>
          <w:numId w:val="1"/>
        </w:numPr>
      </w:pPr>
      <w:r>
        <w:t>Ural Mountains</w:t>
      </w:r>
      <w:r>
        <w:tab/>
      </w:r>
      <w:r>
        <w:tab/>
      </w:r>
      <w:r>
        <w:tab/>
      </w:r>
      <w:r>
        <w:tab/>
      </w:r>
      <w:r>
        <w:tab/>
      </w:r>
      <w:r>
        <w:tab/>
        <w:t>39. Scapegoat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Eurasia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North European  Plain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Alps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Loess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Tundra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Taiga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Europe’s Languages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Europe’s Population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Pollution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Acid Rain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Urban Continent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Political Regions of the United Kingdom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London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Queen Elizabeth II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Parliament – House of Lords and House of Commons </w:t>
      </w:r>
    </w:p>
    <w:p w:rsidR="00495B0D" w:rsidRDefault="004D3418" w:rsidP="00495B0D">
      <w:pPr>
        <w:pStyle w:val="ListParagraph"/>
        <w:numPr>
          <w:ilvl w:val="0"/>
          <w:numId w:val="1"/>
        </w:numPr>
      </w:pPr>
      <w:r>
        <w:t>Theresa May</w:t>
      </w:r>
      <w:r w:rsidR="00495B0D">
        <w:t xml:space="preserve">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European Union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Open Markets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Currency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Euro </w:t>
      </w:r>
    </w:p>
    <w:p w:rsidR="004D3418" w:rsidRDefault="004D3418" w:rsidP="00495B0D">
      <w:pPr>
        <w:pStyle w:val="ListParagraph"/>
        <w:numPr>
          <w:ilvl w:val="0"/>
          <w:numId w:val="1"/>
        </w:numPr>
      </w:pPr>
      <w:proofErr w:type="spellStart"/>
      <w:r>
        <w:t>Brexit</w:t>
      </w:r>
      <w:proofErr w:type="spellEnd"/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Scandinavia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Cradle-to Grave System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Cultural Borrowing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“Breadbasket of Europe”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Paris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Low Countries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Polders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Reunification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Holocaust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Iberian Peninsula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>Economic Changes in Southern Europe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Diversify </w:t>
      </w:r>
    </w:p>
    <w:p w:rsidR="00495B0D" w:rsidRDefault="00495B0D" w:rsidP="00495B0D">
      <w:pPr>
        <w:pStyle w:val="ListParagraph"/>
        <w:numPr>
          <w:ilvl w:val="0"/>
          <w:numId w:val="1"/>
        </w:numPr>
      </w:pPr>
      <w:r>
        <w:t xml:space="preserve">Impact of Chinese imports in Europe today </w:t>
      </w:r>
    </w:p>
    <w:p w:rsidR="00495B0D" w:rsidRPr="00495B0D" w:rsidRDefault="00495B0D" w:rsidP="004D3418">
      <w:pPr>
        <w:pStyle w:val="ListParagraph"/>
        <w:numPr>
          <w:ilvl w:val="0"/>
          <w:numId w:val="1"/>
        </w:numPr>
      </w:pPr>
      <w:r>
        <w:t>Immigration in Europe today</w:t>
      </w:r>
    </w:p>
    <w:sectPr w:rsidR="00495B0D" w:rsidRPr="00495B0D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0E1"/>
    <w:multiLevelType w:val="hybridMultilevel"/>
    <w:tmpl w:val="8D98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B0D"/>
    <w:rsid w:val="000033AF"/>
    <w:rsid w:val="00011769"/>
    <w:rsid w:val="00011AB9"/>
    <w:rsid w:val="000220F9"/>
    <w:rsid w:val="00042FE2"/>
    <w:rsid w:val="00094FAE"/>
    <w:rsid w:val="000C56A6"/>
    <w:rsid w:val="000D16AB"/>
    <w:rsid w:val="001107C7"/>
    <w:rsid w:val="00114D68"/>
    <w:rsid w:val="00122B5B"/>
    <w:rsid w:val="00136C9B"/>
    <w:rsid w:val="00196B0D"/>
    <w:rsid w:val="001C4CBF"/>
    <w:rsid w:val="001D1946"/>
    <w:rsid w:val="001D37F4"/>
    <w:rsid w:val="002477A3"/>
    <w:rsid w:val="00280D0F"/>
    <w:rsid w:val="0029073F"/>
    <w:rsid w:val="002C3AEB"/>
    <w:rsid w:val="002F575F"/>
    <w:rsid w:val="00373185"/>
    <w:rsid w:val="00375659"/>
    <w:rsid w:val="003A11BB"/>
    <w:rsid w:val="003C45CC"/>
    <w:rsid w:val="00400955"/>
    <w:rsid w:val="00407FDB"/>
    <w:rsid w:val="0041201E"/>
    <w:rsid w:val="004257D9"/>
    <w:rsid w:val="00463AB2"/>
    <w:rsid w:val="00465999"/>
    <w:rsid w:val="00495B0D"/>
    <w:rsid w:val="004C4B13"/>
    <w:rsid w:val="004D3418"/>
    <w:rsid w:val="004F367A"/>
    <w:rsid w:val="00503B9F"/>
    <w:rsid w:val="005152A0"/>
    <w:rsid w:val="00557E6B"/>
    <w:rsid w:val="005600E2"/>
    <w:rsid w:val="005627E5"/>
    <w:rsid w:val="0058407A"/>
    <w:rsid w:val="00595412"/>
    <w:rsid w:val="00596C19"/>
    <w:rsid w:val="005C73D3"/>
    <w:rsid w:val="00603B5D"/>
    <w:rsid w:val="0066289F"/>
    <w:rsid w:val="006A355E"/>
    <w:rsid w:val="006D2AE8"/>
    <w:rsid w:val="00735787"/>
    <w:rsid w:val="00757D0E"/>
    <w:rsid w:val="00760E2A"/>
    <w:rsid w:val="00797188"/>
    <w:rsid w:val="007B7BA7"/>
    <w:rsid w:val="007C2529"/>
    <w:rsid w:val="007C700F"/>
    <w:rsid w:val="007D4783"/>
    <w:rsid w:val="008045EC"/>
    <w:rsid w:val="00804DD3"/>
    <w:rsid w:val="0085648E"/>
    <w:rsid w:val="008761A1"/>
    <w:rsid w:val="00876D65"/>
    <w:rsid w:val="00880FE6"/>
    <w:rsid w:val="00892D97"/>
    <w:rsid w:val="008A3B0B"/>
    <w:rsid w:val="008A700C"/>
    <w:rsid w:val="008B64FC"/>
    <w:rsid w:val="008D217D"/>
    <w:rsid w:val="008E1F78"/>
    <w:rsid w:val="009142F9"/>
    <w:rsid w:val="00937202"/>
    <w:rsid w:val="00964EB2"/>
    <w:rsid w:val="0097596B"/>
    <w:rsid w:val="00991B48"/>
    <w:rsid w:val="009E2DBF"/>
    <w:rsid w:val="00A06841"/>
    <w:rsid w:val="00A178E3"/>
    <w:rsid w:val="00A26A06"/>
    <w:rsid w:val="00A65B52"/>
    <w:rsid w:val="00AA3A37"/>
    <w:rsid w:val="00AB07DA"/>
    <w:rsid w:val="00AC720D"/>
    <w:rsid w:val="00AD7429"/>
    <w:rsid w:val="00B27800"/>
    <w:rsid w:val="00B31295"/>
    <w:rsid w:val="00B81B8B"/>
    <w:rsid w:val="00B91208"/>
    <w:rsid w:val="00B93C66"/>
    <w:rsid w:val="00BB3068"/>
    <w:rsid w:val="00BC3AD2"/>
    <w:rsid w:val="00C019C2"/>
    <w:rsid w:val="00C5216C"/>
    <w:rsid w:val="00C732E8"/>
    <w:rsid w:val="00CB694B"/>
    <w:rsid w:val="00CC3253"/>
    <w:rsid w:val="00CD0F41"/>
    <w:rsid w:val="00CF4D86"/>
    <w:rsid w:val="00D03217"/>
    <w:rsid w:val="00D30873"/>
    <w:rsid w:val="00D67731"/>
    <w:rsid w:val="00DF7C48"/>
    <w:rsid w:val="00E31347"/>
    <w:rsid w:val="00E43EA2"/>
    <w:rsid w:val="00E45317"/>
    <w:rsid w:val="00E561D4"/>
    <w:rsid w:val="00E85060"/>
    <w:rsid w:val="00EA328A"/>
    <w:rsid w:val="00EB3543"/>
    <w:rsid w:val="00ED29EF"/>
    <w:rsid w:val="00ED3382"/>
    <w:rsid w:val="00F301AF"/>
    <w:rsid w:val="00F3254E"/>
    <w:rsid w:val="00F37011"/>
    <w:rsid w:val="00F612BF"/>
    <w:rsid w:val="00F96C25"/>
    <w:rsid w:val="00FA2C52"/>
    <w:rsid w:val="00FC0748"/>
    <w:rsid w:val="00FC6C4C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6</cp:revision>
  <cp:lastPrinted>2014-01-23T21:03:00Z</cp:lastPrinted>
  <dcterms:created xsi:type="dcterms:W3CDTF">2014-01-17T16:53:00Z</dcterms:created>
  <dcterms:modified xsi:type="dcterms:W3CDTF">2017-01-03T19:40:00Z</dcterms:modified>
</cp:coreProperties>
</file>